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60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Амирова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Руслана </w:t>
      </w:r>
      <w:r>
        <w:rPr>
          <w:rFonts w:ascii="Times New Roman" w:eastAsia="Times New Roman" w:hAnsi="Times New Roman" w:cs="Times New Roman"/>
          <w:b/>
          <w:bCs/>
          <w:i/>
          <w:iCs/>
        </w:rPr>
        <w:t>Ильгаровича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00 час. 01 мин. </w:t>
      </w:r>
      <w:r>
        <w:rPr>
          <w:rFonts w:ascii="Times New Roman" w:eastAsia="Times New Roman" w:hAnsi="Times New Roman" w:cs="Times New Roman"/>
        </w:rPr>
        <w:t>Амиров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386250250000583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28.01.2025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Амиров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Амирова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от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по начислению из ГИС ГМП и уведомлением, согласно которых лицо, привлекаемое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числится не уплатившим шт</w:t>
      </w:r>
      <w:r>
        <w:rPr>
          <w:rFonts w:ascii="Times New Roman" w:eastAsia="Times New Roman" w:hAnsi="Times New Roman" w:cs="Times New Roman"/>
        </w:rPr>
        <w:t>раф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реестром правонарушений;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Амирова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Амирова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</w:t>
      </w:r>
      <w:r>
        <w:rPr>
          <w:rFonts w:ascii="Times New Roman" w:eastAsia="Times New Roman" w:hAnsi="Times New Roman" w:cs="Times New Roman"/>
        </w:rPr>
        <w:t>3.1, 29.5, 29.6, 29.10 КоАП РФ,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Амирова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Руслана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Ильгаровича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20.25 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0412365400285000602620112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